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pPr>
      <w:r>
        <w:rPr>
          <w:rFonts w:ascii="Calibri" w:hAnsi="Calibri"/>
          <w:b/>
          <w:i w:val="0"/>
          <w:color w:val="2E74B5"/>
          <w:sz w:val="20"/>
        </w:rPr>
        <w:t>LINKCRIB</w:t>
      </w:r>
    </w:p>
    <w:p>
      <w:pPr>
        <w:spacing w:after="60"/>
      </w:pPr>
      <w:r>
        <w:rPr>
          <w:rFonts w:ascii="Calibri" w:hAnsi="Calibri"/>
          <w:b/>
          <w:i w:val="0"/>
          <w:color w:val="0B2545"/>
          <w:sz w:val="50"/>
        </w:rPr>
        <w:t>Camera &amp; Security Compatibility Guide</w:t>
      </w:r>
    </w:p>
    <w:p>
      <w:pPr>
        <w:spacing w:after="200"/>
      </w:pPr>
      <w:r>
        <w:rPr>
          <w:rFonts w:ascii="Calibri" w:hAnsi="Calibri"/>
          <w:b w:val="0"/>
          <w:i w:val="0"/>
          <w:color w:val="526174"/>
          <w:sz w:val="23"/>
        </w:rPr>
        <w:t>What works today, what could work next, and how LinkCrib avoids unnecessary vendor lock-in</w:t>
      </w:r>
    </w:p>
    <w:tbl>
      <w:tblPr>
        <w:tblStyle w:val="TableGrid"/>
        <w:tblW w:type="auto" w:w="0"/>
        <w:tblLayout w:type="fixed"/>
        <w:tblLook w:firstColumn="1" w:firstRow="1" w:lastColumn="0" w:lastRow="0" w:noHBand="0" w:noVBand="1" w:val="04A0"/>
        <w:tblW w:w="9360" w:type="dxa"/>
        <w:tblInd w:w="120" w:type="dxa"/>
      </w:tblPr>
      <w:tblGrid>
        <w:gridCol w:w="3000"/>
        <w:gridCol w:w="3180"/>
        <w:gridCol w:w="3180"/>
      </w:tblGrid>
      <w:tr>
        <w:tc>
          <w:tcPr>
            <w:tcW w:type="dxa" w:w="3312"/>
            <w:tcW w:w="3000" w:type="dxa"/>
            <w:tcMar>
              <w:top w:w="90" w:type="dxa"/>
              <w:start w:w="120" w:type="dxa"/>
              <w:bottom w:w="90" w:type="dxa"/>
              <w:end w:w="120" w:type="dxa"/>
            </w:tcMar>
            <w:vAlign w:val="center"/>
            <w:shd w:fill="E8EEF5"/>
          </w:tcPr>
          <w:p>
            <w:r>
              <w:rPr>
                <w:rFonts w:ascii="Calibri" w:hAnsi="Calibri"/>
                <w:b/>
                <w:i w:val="0"/>
                <w:color w:val="2E74B5"/>
                <w:sz w:val="16"/>
              </w:rPr>
              <w:t>CURRENT BUILD</w:t>
              <w:br/>
            </w:r>
            <w:r>
              <w:rPr>
                <w:rFonts w:ascii="Calibri" w:hAnsi="Calibri"/>
                <w:b/>
                <w:i w:val="0"/>
                <w:color w:val="0B2545"/>
                <w:sz w:val="20"/>
              </w:rPr>
              <w:t>Alpha v1.18</w:t>
            </w:r>
          </w:p>
        </w:tc>
        <w:tc>
          <w:tcPr>
            <w:tcW w:type="dxa" w:w="3312"/>
            <w:tcW w:w="3180" w:type="dxa"/>
            <w:tcMar>
              <w:top w:w="90" w:type="dxa"/>
              <w:start w:w="120" w:type="dxa"/>
              <w:bottom w:w="90" w:type="dxa"/>
              <w:end w:w="120" w:type="dxa"/>
            </w:tcMar>
            <w:vAlign w:val="center"/>
            <w:shd w:fill="E8EEF5"/>
          </w:tcPr>
          <w:p>
            <w:r>
              <w:rPr>
                <w:rFonts w:ascii="Calibri" w:hAnsi="Calibri"/>
                <w:b/>
                <w:i w:val="0"/>
                <w:color w:val="2E74B5"/>
                <w:sz w:val="16"/>
              </w:rPr>
              <w:t>PROVEN CAMERA PLATFORM</w:t>
              <w:br/>
            </w:r>
            <w:r>
              <w:rPr>
                <w:rFonts w:ascii="Calibri" w:hAnsi="Calibri"/>
                <w:b/>
                <w:i w:val="0"/>
                <w:color w:val="0B2545"/>
                <w:sz w:val="20"/>
              </w:rPr>
              <w:t>Reolink + Home Hub</w:t>
            </w:r>
          </w:p>
        </w:tc>
        <w:tc>
          <w:tcPr>
            <w:tcW w:type="dxa" w:w="3312"/>
            <w:tcW w:w="3180" w:type="dxa"/>
            <w:tcMar>
              <w:top w:w="90" w:type="dxa"/>
              <w:start w:w="120" w:type="dxa"/>
              <w:bottom w:w="90" w:type="dxa"/>
              <w:end w:w="120" w:type="dxa"/>
            </w:tcMar>
            <w:vAlign w:val="center"/>
            <w:shd w:fill="E8EEF5"/>
          </w:tcPr>
          <w:p>
            <w:r>
              <w:rPr>
                <w:rFonts w:ascii="Calibri" w:hAnsi="Calibri"/>
                <w:b/>
                <w:i w:val="0"/>
                <w:color w:val="2E74B5"/>
                <w:sz w:val="16"/>
              </w:rPr>
              <w:t>DIRECTION</w:t>
              <w:br/>
            </w:r>
            <w:r>
              <w:rPr>
                <w:rFonts w:ascii="Calibri" w:hAnsi="Calibri"/>
                <w:b/>
                <w:i w:val="0"/>
                <w:color w:val="0B2545"/>
                <w:sz w:val="20"/>
              </w:rPr>
              <w:t>Local-first and extensible</w:t>
            </w:r>
          </w:p>
        </w:tc>
      </w:tr>
    </w:tbl>
    <w:p>
      <w:pPr>
        <w:pStyle w:val="Heading1"/>
        <w:keepNext/>
      </w:pPr>
      <w:r>
        <w:rPr>
          <w:rFonts w:ascii="Calibri" w:hAnsi="Calibri"/>
          <w:b/>
          <w:i w:val="0"/>
          <w:color w:val="2E74B5"/>
          <w:sz w:val="32"/>
        </w:rPr>
        <w:t>The short answer</w:t>
      </w:r>
    </w:p>
    <w:p>
      <w:r>
        <w:rPr>
          <w:rFonts w:ascii="Calibri" w:hAnsi="Calibri"/>
          <w:b/>
          <w:i w:val="0"/>
          <w:color w:val="0B2545"/>
          <w:sz w:val="21"/>
        </w:rPr>
        <w:t xml:space="preserve">Today, Reolink is the only camera ecosystem implemented and tested end to end in LinkCrib. </w:t>
      </w:r>
      <w:r>
        <w:rPr>
          <w:rFonts w:ascii="Calibri" w:hAnsi="Calibri"/>
          <w:b w:val="0"/>
          <w:i w:val="0"/>
          <w:color w:val="1F2937"/>
          <w:sz w:val="21"/>
        </w:rPr>
        <w:t>LinkCrib is not intended to remain locked to one brand. Future integrations should favor products with documented local APIs or open interoperability standards, while cloud-only services remain portal links unless a safe, supported connection becomes available.</w:t>
      </w:r>
    </w:p>
    <w:p>
      <w:pPr>
        <w:pStyle w:val="Heading1"/>
        <w:keepNext/>
      </w:pPr>
      <w:r>
        <w:rPr>
          <w:rFonts w:ascii="Calibri" w:hAnsi="Calibri"/>
          <w:b/>
          <w:i w:val="0"/>
          <w:color w:val="2E74B5"/>
          <w:sz w:val="32"/>
        </w:rPr>
        <w:t>Compatibility status</w:t>
      </w:r>
    </w:p>
    <w:tbl>
      <w:tblPr>
        <w:tblStyle w:val="TableGrid"/>
        <w:tblW w:type="auto" w:w="0"/>
        <w:tblLayout w:type="fixed"/>
        <w:tblLook w:firstColumn="1" w:firstRow="1" w:lastColumn="0" w:lastRow="0" w:noHBand="0" w:noVBand="1" w:val="04A0"/>
        <w:tblW w:w="9360" w:type="dxa"/>
        <w:tblInd w:w="120" w:type="dxa"/>
        <w:tblW w:w="9360" w:type="dxa"/>
        <w:tblInd w:w="120" w:type="dxa"/>
      </w:tblPr>
      <w:tblGrid>
        <w:gridCol w:w="1500"/>
        <w:gridCol w:w="1900"/>
        <w:gridCol w:w="3060"/>
        <w:gridCol w:w="2900"/>
      </w:tblGrid>
      <w:tr>
        <w:tc>
          <w:tcPr>
            <w:tcW w:type="dxa" w:w="2484"/>
            <w:tcW w:w="1500" w:type="dxa"/>
            <w:tcMar>
              <w:top w:w="90" w:type="dxa"/>
              <w:start w:w="120" w:type="dxa"/>
              <w:bottom w:w="90" w:type="dxa"/>
              <w:end w:w="120" w:type="dxa"/>
            </w:tcMar>
            <w:vAlign w:val="center"/>
            <w:shd w:fill="0B2545"/>
            <w:tcW w:w="1500" w:type="dxa"/>
          </w:tcPr>
          <w:p>
            <w:r>
              <w:rPr>
                <w:rFonts w:ascii="Calibri" w:hAnsi="Calibri"/>
                <w:b/>
                <w:i w:val="0"/>
                <w:color w:val="FFFFFF"/>
                <w:sz w:val="16"/>
              </w:rPr>
              <w:t>STATUS</w:t>
            </w:r>
          </w:p>
        </w:tc>
        <w:tc>
          <w:tcPr>
            <w:tcW w:type="dxa" w:w="2484"/>
            <w:tcW w:w="1900" w:type="dxa"/>
            <w:tcMar>
              <w:top w:w="90" w:type="dxa"/>
              <w:start w:w="120" w:type="dxa"/>
              <w:bottom w:w="90" w:type="dxa"/>
              <w:end w:w="120" w:type="dxa"/>
            </w:tcMar>
            <w:vAlign w:val="center"/>
            <w:shd w:fill="0B2545"/>
            <w:tcW w:w="1900" w:type="dxa"/>
          </w:tcPr>
          <w:p>
            <w:r>
              <w:rPr>
                <w:rFonts w:ascii="Calibri" w:hAnsi="Calibri"/>
                <w:b/>
                <w:i w:val="0"/>
                <w:color w:val="FFFFFF"/>
                <w:sz w:val="16"/>
              </w:rPr>
              <w:t>PLATFORM</w:t>
            </w:r>
          </w:p>
        </w:tc>
        <w:tc>
          <w:tcPr>
            <w:tcW w:type="dxa" w:w="2484"/>
            <w:tcW w:w="3060" w:type="dxa"/>
            <w:tcMar>
              <w:top w:w="90" w:type="dxa"/>
              <w:start w:w="120" w:type="dxa"/>
              <w:bottom w:w="90" w:type="dxa"/>
              <w:end w:w="120" w:type="dxa"/>
            </w:tcMar>
            <w:vAlign w:val="center"/>
            <w:shd w:fill="0B2545"/>
            <w:tcW w:w="3060" w:type="dxa"/>
          </w:tcPr>
          <w:p>
            <w:r>
              <w:rPr>
                <w:rFonts w:ascii="Calibri" w:hAnsi="Calibri"/>
                <w:b/>
                <w:i w:val="0"/>
                <w:color w:val="FFFFFF"/>
                <w:sz w:val="16"/>
              </w:rPr>
              <w:t>LINKCRIB POSITION</w:t>
            </w:r>
          </w:p>
        </w:tc>
        <w:tc>
          <w:tcPr>
            <w:tcW w:type="dxa" w:w="2484"/>
            <w:tcW w:w="2900" w:type="dxa"/>
            <w:tcMar>
              <w:top w:w="90" w:type="dxa"/>
              <w:start w:w="120" w:type="dxa"/>
              <w:bottom w:w="90" w:type="dxa"/>
              <w:end w:w="120" w:type="dxa"/>
            </w:tcMar>
            <w:vAlign w:val="center"/>
            <w:shd w:fill="0B2545"/>
            <w:tcW w:w="2900" w:type="dxa"/>
          </w:tcPr>
          <w:p>
            <w:r>
              <w:rPr>
                <w:rFonts w:ascii="Calibri" w:hAnsi="Calibri"/>
                <w:b/>
                <w:i w:val="0"/>
                <w:color w:val="FFFFFF"/>
                <w:sz w:val="16"/>
              </w:rPr>
              <w:t>WHAT THAT MEANS</w:t>
            </w:r>
          </w:p>
        </w:tc>
      </w:tr>
      <w:tr>
        <w:tc>
          <w:tcPr>
            <w:tcW w:type="dxa" w:w="1500"/>
            <w:shd w:fill="FFFFFF"/>
            <w:tcW w:w="1500" w:type="dxa"/>
            <w:tcMar>
              <w:top w:w="90" w:type="dxa"/>
              <w:start w:w="120" w:type="dxa"/>
              <w:bottom w:w="90" w:type="dxa"/>
              <w:end w:w="120" w:type="dxa"/>
            </w:tcMar>
            <w:vAlign w:val="center"/>
          </w:tcPr>
          <w:p>
            <w:r>
              <w:rPr>
                <w:rFonts w:ascii="Calibri" w:hAnsi="Calibri"/>
                <w:b/>
                <w:i w:val="0"/>
                <w:color w:val="0B2545"/>
                <w:sz w:val="17"/>
              </w:rPr>
              <w:t>Tested</w:t>
            </w:r>
          </w:p>
        </w:tc>
        <w:tc>
          <w:tcPr>
            <w:tcW w:type="dxa" w:w="1900"/>
            <w:shd w:fill="FFFFFF"/>
            <w:tcW w:w="1900" w:type="dxa"/>
            <w:tcMar>
              <w:top w:w="90" w:type="dxa"/>
              <w:start w:w="120" w:type="dxa"/>
              <w:bottom w:w="90" w:type="dxa"/>
              <w:end w:w="120" w:type="dxa"/>
            </w:tcMar>
            <w:vAlign w:val="center"/>
          </w:tcPr>
          <w:p>
            <w:r>
              <w:rPr>
                <w:rFonts w:ascii="Calibri" w:hAnsi="Calibri"/>
                <w:b w:val="0"/>
                <w:i w:val="0"/>
                <w:color w:val="1F2937"/>
                <w:sz w:val="17"/>
              </w:rPr>
              <w:t>Reolink</w:t>
            </w:r>
          </w:p>
        </w:tc>
        <w:tc>
          <w:tcPr>
            <w:tcW w:type="dxa" w:w="3060"/>
            <w:shd w:fill="FFFFFF"/>
            <w:tcW w:w="3060" w:type="dxa"/>
            <w:tcMar>
              <w:top w:w="90" w:type="dxa"/>
              <w:start w:w="120" w:type="dxa"/>
              <w:bottom w:w="90" w:type="dxa"/>
              <w:end w:w="120" w:type="dxa"/>
            </w:tcMar>
            <w:vAlign w:val="center"/>
          </w:tcPr>
          <w:p>
            <w:r>
              <w:rPr>
                <w:rFonts w:ascii="Calibri" w:hAnsi="Calibri"/>
                <w:b w:val="0"/>
                <w:i w:val="0"/>
                <w:color w:val="1F2937"/>
                <w:sz w:val="17"/>
              </w:rPr>
              <w:t>Current recommended camera system</w:t>
            </w:r>
          </w:p>
        </w:tc>
        <w:tc>
          <w:tcPr>
            <w:tcW w:type="dxa" w:w="2900"/>
            <w:shd w:fill="FFFFFF"/>
            <w:tcW w:w="2900" w:type="dxa"/>
            <w:tcMar>
              <w:top w:w="90" w:type="dxa"/>
              <w:start w:w="120" w:type="dxa"/>
              <w:bottom w:w="90" w:type="dxa"/>
              <w:end w:w="120" w:type="dxa"/>
            </w:tcMar>
            <w:vAlign w:val="center"/>
          </w:tcPr>
          <w:p>
            <w:r>
              <w:rPr>
                <w:rFonts w:ascii="Calibri" w:hAnsi="Calibri"/>
                <w:b w:val="0"/>
                <w:i w:val="0"/>
                <w:color w:val="1F2937"/>
                <w:sz w:val="17"/>
              </w:rPr>
              <w:t>Inventory and snapshots are working with the Reolink Home Hub.</w:t>
            </w:r>
          </w:p>
        </w:tc>
      </w:tr>
      <w:tr>
        <w:tc>
          <w:tcPr>
            <w:tcW w:type="dxa" w:w="1500"/>
            <w:shd w:fill="F4F6F9"/>
            <w:tcW w:w="1500" w:type="dxa"/>
            <w:tcMar>
              <w:top w:w="90" w:type="dxa"/>
              <w:start w:w="120" w:type="dxa"/>
              <w:bottom w:w="90" w:type="dxa"/>
              <w:end w:w="120" w:type="dxa"/>
            </w:tcMar>
            <w:vAlign w:val="center"/>
          </w:tcPr>
          <w:p>
            <w:r>
              <w:rPr>
                <w:rFonts w:ascii="Calibri" w:hAnsi="Calibri"/>
                <w:b/>
                <w:i w:val="0"/>
                <w:color w:val="0B2545"/>
                <w:sz w:val="17"/>
              </w:rPr>
              <w:t>Strong candidate</w:t>
            </w:r>
          </w:p>
        </w:tc>
        <w:tc>
          <w:tcPr>
            <w:tcW w:type="dxa" w:w="1900"/>
            <w:shd w:fill="F4F6F9"/>
            <w:tcW w:w="1900" w:type="dxa"/>
            <w:tcMar>
              <w:top w:w="90" w:type="dxa"/>
              <w:start w:w="120" w:type="dxa"/>
              <w:bottom w:w="90" w:type="dxa"/>
              <w:end w:w="120" w:type="dxa"/>
            </w:tcMar>
            <w:vAlign w:val="center"/>
          </w:tcPr>
          <w:p>
            <w:r>
              <w:rPr>
                <w:rFonts w:ascii="Calibri" w:hAnsi="Calibri"/>
                <w:b w:val="0"/>
                <w:i w:val="0"/>
                <w:color w:val="1F2937"/>
                <w:sz w:val="17"/>
              </w:rPr>
              <w:t>UniFi Protect</w:t>
            </w:r>
          </w:p>
        </w:tc>
        <w:tc>
          <w:tcPr>
            <w:tcW w:type="dxa" w:w="3060"/>
            <w:shd w:fill="F4F6F9"/>
            <w:tcW w:w="3060" w:type="dxa"/>
            <w:tcMar>
              <w:top w:w="90" w:type="dxa"/>
              <w:start w:w="120" w:type="dxa"/>
              <w:bottom w:w="90" w:type="dxa"/>
              <w:end w:w="120" w:type="dxa"/>
            </w:tcMar>
            <w:vAlign w:val="center"/>
          </w:tcPr>
          <w:p>
            <w:r>
              <w:rPr>
                <w:rFonts w:ascii="Calibri" w:hAnsi="Calibri"/>
                <w:b w:val="0"/>
                <w:i w:val="0"/>
                <w:color w:val="1F2937"/>
                <w:sz w:val="17"/>
              </w:rPr>
              <w:t>Best next full security-platform integration</w:t>
            </w:r>
          </w:p>
        </w:tc>
        <w:tc>
          <w:tcPr>
            <w:tcW w:type="dxa" w:w="2900"/>
            <w:shd w:fill="F4F6F9"/>
            <w:tcW w:w="2900" w:type="dxa"/>
            <w:tcMar>
              <w:top w:w="90" w:type="dxa"/>
              <w:start w:w="120" w:type="dxa"/>
              <w:bottom w:w="90" w:type="dxa"/>
              <w:end w:w="120" w:type="dxa"/>
            </w:tcMar>
            <w:vAlign w:val="center"/>
          </w:tcPr>
          <w:p>
            <w:r>
              <w:rPr>
                <w:rFonts w:ascii="Calibri" w:hAnsi="Calibri"/>
                <w:b w:val="0"/>
                <w:i w:val="0"/>
                <w:color w:val="1F2937"/>
                <w:sz w:val="17"/>
              </w:rPr>
              <w:t>Official API covers cameras, snapshots, sensors, sirens, relays, and alarm hardware.</w:t>
            </w:r>
          </w:p>
        </w:tc>
      </w:tr>
      <w:tr>
        <w:tc>
          <w:tcPr>
            <w:tcW w:type="dxa" w:w="1500"/>
            <w:shd w:fill="FFFFFF"/>
            <w:tcW w:w="1500" w:type="dxa"/>
            <w:tcMar>
              <w:top w:w="90" w:type="dxa"/>
              <w:start w:w="120" w:type="dxa"/>
              <w:bottom w:w="90" w:type="dxa"/>
              <w:end w:w="120" w:type="dxa"/>
            </w:tcMar>
            <w:vAlign w:val="center"/>
          </w:tcPr>
          <w:p>
            <w:r>
              <w:rPr>
                <w:rFonts w:ascii="Calibri" w:hAnsi="Calibri"/>
                <w:b/>
                <w:i w:val="0"/>
                <w:color w:val="0B2545"/>
                <w:sz w:val="17"/>
              </w:rPr>
              <w:t>Planned direction</w:t>
            </w:r>
          </w:p>
        </w:tc>
        <w:tc>
          <w:tcPr>
            <w:tcW w:type="dxa" w:w="1900"/>
            <w:shd w:fill="FFFFFF"/>
            <w:tcW w:w="1900" w:type="dxa"/>
            <w:tcMar>
              <w:top w:w="90" w:type="dxa"/>
              <w:start w:w="120" w:type="dxa"/>
              <w:bottom w:w="90" w:type="dxa"/>
              <w:end w:w="120" w:type="dxa"/>
            </w:tcMar>
            <w:vAlign w:val="center"/>
          </w:tcPr>
          <w:p>
            <w:r>
              <w:rPr>
                <w:rFonts w:ascii="Calibri" w:hAnsi="Calibri"/>
                <w:b w:val="0"/>
                <w:i w:val="0"/>
                <w:color w:val="1F2937"/>
                <w:sz w:val="17"/>
              </w:rPr>
              <w:t>ONVIF Profile T</w:t>
            </w:r>
          </w:p>
        </w:tc>
        <w:tc>
          <w:tcPr>
            <w:tcW w:type="dxa" w:w="3060"/>
            <w:shd w:fill="FFFFFF"/>
            <w:tcW w:w="3060" w:type="dxa"/>
            <w:tcMar>
              <w:top w:w="90" w:type="dxa"/>
              <w:start w:w="120" w:type="dxa"/>
              <w:bottom w:w="90" w:type="dxa"/>
              <w:end w:w="120" w:type="dxa"/>
            </w:tcMar>
            <w:vAlign w:val="center"/>
          </w:tcPr>
          <w:p>
            <w:r>
              <w:rPr>
                <w:rFonts w:ascii="Calibri" w:hAnsi="Calibri"/>
                <w:b w:val="0"/>
                <w:i w:val="0"/>
                <w:color w:val="1F2937"/>
                <w:sz w:val="17"/>
              </w:rPr>
              <w:t>Best route to multi-brand camera support</w:t>
            </w:r>
          </w:p>
        </w:tc>
        <w:tc>
          <w:tcPr>
            <w:tcW w:type="dxa" w:w="2900"/>
            <w:shd w:fill="FFFFFF"/>
            <w:tcW w:w="2900" w:type="dxa"/>
            <w:tcMar>
              <w:top w:w="90" w:type="dxa"/>
              <w:start w:w="120" w:type="dxa"/>
              <w:bottom w:w="90" w:type="dxa"/>
              <w:end w:w="120" w:type="dxa"/>
            </w:tcMar>
            <w:vAlign w:val="center"/>
          </w:tcPr>
          <w:p>
            <w:r>
              <w:rPr>
                <w:rFonts w:ascii="Calibri" w:hAnsi="Calibri"/>
                <w:b w:val="0"/>
                <w:i w:val="0"/>
                <w:color w:val="1F2937"/>
                <w:sz w:val="17"/>
              </w:rPr>
              <w:t>A generic connector could support verified conformant models without writing a separate adapter for every brand.</w:t>
            </w:r>
          </w:p>
        </w:tc>
      </w:tr>
      <w:tr>
        <w:tc>
          <w:tcPr>
            <w:tcW w:type="dxa" w:w="1500"/>
            <w:shd w:fill="F4F6F9"/>
            <w:tcW w:w="1500" w:type="dxa"/>
            <w:tcMar>
              <w:top w:w="90" w:type="dxa"/>
              <w:start w:w="120" w:type="dxa"/>
              <w:bottom w:w="90" w:type="dxa"/>
              <w:end w:w="120" w:type="dxa"/>
            </w:tcMar>
            <w:vAlign w:val="center"/>
          </w:tcPr>
          <w:p>
            <w:r>
              <w:rPr>
                <w:rFonts w:ascii="Calibri" w:hAnsi="Calibri"/>
                <w:b/>
                <w:i w:val="0"/>
                <w:color w:val="0B2545"/>
                <w:sz w:val="17"/>
              </w:rPr>
              <w:t>Possible</w:t>
            </w:r>
          </w:p>
        </w:tc>
        <w:tc>
          <w:tcPr>
            <w:tcW w:type="dxa" w:w="1900"/>
            <w:shd w:fill="F4F6F9"/>
            <w:tcW w:w="1900" w:type="dxa"/>
            <w:tcMar>
              <w:top w:w="90" w:type="dxa"/>
              <w:start w:w="120" w:type="dxa"/>
              <w:bottom w:w="90" w:type="dxa"/>
              <w:end w:w="120" w:type="dxa"/>
            </w:tcMar>
            <w:vAlign w:val="center"/>
          </w:tcPr>
          <w:p>
            <w:r>
              <w:rPr>
                <w:rFonts w:ascii="Calibri" w:hAnsi="Calibri"/>
                <w:b w:val="0"/>
                <w:i w:val="0"/>
                <w:color w:val="1F2937"/>
                <w:sz w:val="17"/>
              </w:rPr>
              <w:t>RTSP cameras</w:t>
            </w:r>
          </w:p>
        </w:tc>
        <w:tc>
          <w:tcPr>
            <w:tcW w:type="dxa" w:w="3060"/>
            <w:shd w:fill="F4F6F9"/>
            <w:tcW w:w="3060" w:type="dxa"/>
            <w:tcMar>
              <w:top w:w="90" w:type="dxa"/>
              <w:start w:w="120" w:type="dxa"/>
              <w:bottom w:w="90" w:type="dxa"/>
              <w:end w:w="120" w:type="dxa"/>
            </w:tcMar>
            <w:vAlign w:val="center"/>
          </w:tcPr>
          <w:p>
            <w:r>
              <w:rPr>
                <w:rFonts w:ascii="Calibri" w:hAnsi="Calibri"/>
                <w:b w:val="0"/>
                <w:i w:val="0"/>
                <w:color w:val="1F2937"/>
                <w:sz w:val="17"/>
              </w:rPr>
              <w:t>Basic stream or snapshot path</w:t>
            </w:r>
          </w:p>
        </w:tc>
        <w:tc>
          <w:tcPr>
            <w:tcW w:type="dxa" w:w="2900"/>
            <w:shd w:fill="F4F6F9"/>
            <w:tcW w:w="2900" w:type="dxa"/>
            <w:tcMar>
              <w:top w:w="90" w:type="dxa"/>
              <w:start w:w="120" w:type="dxa"/>
              <w:bottom w:w="90" w:type="dxa"/>
              <w:end w:w="120" w:type="dxa"/>
            </w:tcMar>
            <w:vAlign w:val="center"/>
          </w:tcPr>
          <w:p>
            <w:r>
              <w:rPr>
                <w:rFonts w:ascii="Calibri" w:hAnsi="Calibri"/>
                <w:b w:val="0"/>
                <w:i w:val="0"/>
                <w:color w:val="1F2937"/>
                <w:sz w:val="17"/>
              </w:rPr>
              <w:t>Useful for video access, but usually provides less inventory, health, event, and sensor data than ONVIF.</w:t>
            </w:r>
          </w:p>
        </w:tc>
      </w:tr>
      <w:tr>
        <w:tc>
          <w:tcPr>
            <w:tcW w:type="dxa" w:w="1500"/>
            <w:shd w:fill="FFFFFF"/>
            <w:tcW w:w="1500" w:type="dxa"/>
            <w:tcMar>
              <w:top w:w="90" w:type="dxa"/>
              <w:start w:w="120" w:type="dxa"/>
              <w:bottom w:w="90" w:type="dxa"/>
              <w:end w:w="120" w:type="dxa"/>
            </w:tcMar>
            <w:vAlign w:val="center"/>
          </w:tcPr>
          <w:p>
            <w:r>
              <w:rPr>
                <w:rFonts w:ascii="Calibri" w:hAnsi="Calibri"/>
                <w:b/>
                <w:i w:val="0"/>
                <w:color w:val="0B2545"/>
                <w:sz w:val="17"/>
              </w:rPr>
              <w:t>Portal only</w:t>
            </w:r>
          </w:p>
        </w:tc>
        <w:tc>
          <w:tcPr>
            <w:tcW w:type="dxa" w:w="1900"/>
            <w:shd w:fill="FFFFFF"/>
            <w:tcW w:w="1900" w:type="dxa"/>
            <w:tcMar>
              <w:top w:w="90" w:type="dxa"/>
              <w:start w:w="120" w:type="dxa"/>
              <w:bottom w:w="90" w:type="dxa"/>
              <w:end w:w="120" w:type="dxa"/>
            </w:tcMar>
            <w:vAlign w:val="center"/>
          </w:tcPr>
          <w:p>
            <w:r>
              <w:rPr>
                <w:rFonts w:ascii="Calibri" w:hAnsi="Calibri"/>
                <w:b w:val="0"/>
                <w:i w:val="0"/>
                <w:color w:val="1F2937"/>
                <w:sz w:val="17"/>
              </w:rPr>
              <w:t>Ring, ADT Control, Alarm.com and similar</w:t>
            </w:r>
          </w:p>
        </w:tc>
        <w:tc>
          <w:tcPr>
            <w:tcW w:type="dxa" w:w="3060"/>
            <w:shd w:fill="FFFFFF"/>
            <w:tcW w:w="3060" w:type="dxa"/>
            <w:tcMar>
              <w:top w:w="90" w:type="dxa"/>
              <w:start w:w="120" w:type="dxa"/>
              <w:bottom w:w="90" w:type="dxa"/>
              <w:end w:w="120" w:type="dxa"/>
            </w:tcMar>
            <w:vAlign w:val="center"/>
          </w:tcPr>
          <w:p>
            <w:r>
              <w:rPr>
                <w:rFonts w:ascii="Calibri" w:hAnsi="Calibri"/>
                <w:b w:val="0"/>
                <w:i w:val="0"/>
                <w:color w:val="1F2937"/>
                <w:sz w:val="17"/>
              </w:rPr>
              <w:t>No direct account integration planned today</w:t>
            </w:r>
          </w:p>
        </w:tc>
        <w:tc>
          <w:tcPr>
            <w:tcW w:type="dxa" w:w="2900"/>
            <w:shd w:fill="FFFFFF"/>
            <w:tcW w:w="2900" w:type="dxa"/>
            <w:tcMar>
              <w:top w:w="90" w:type="dxa"/>
              <w:start w:w="120" w:type="dxa"/>
              <w:bottom w:w="90" w:type="dxa"/>
              <w:end w:w="120" w:type="dxa"/>
            </w:tcMar>
            <w:vAlign w:val="center"/>
          </w:tcPr>
          <w:p>
            <w:r>
              <w:rPr>
                <w:rFonts w:ascii="Calibri" w:hAnsi="Calibri"/>
                <w:b w:val="0"/>
                <w:i w:val="0"/>
                <w:color w:val="1F2937"/>
                <w:sz w:val="17"/>
              </w:rPr>
              <w:t>Users can reach the provider’s portal without LinkCrib repeatedly authenticating against a restricted cloud account.</w:t>
            </w:r>
          </w:p>
        </w:tc>
      </w:tr>
    </w:tbl>
    <w:p>
      <w:r>
        <w:br w:type="page"/>
      </w:r>
    </w:p>
    <w:p>
      <w:pPr>
        <w:pStyle w:val="Heading1"/>
        <w:keepNext/>
      </w:pPr>
      <w:r>
        <w:rPr>
          <w:rFonts w:ascii="Calibri" w:hAnsi="Calibri"/>
          <w:b/>
          <w:i w:val="0"/>
          <w:color w:val="2E74B5"/>
          <w:sz w:val="32"/>
        </w:rPr>
        <w:t>Recommended alternatives to Reolink</w:t>
      </w:r>
    </w:p>
    <w:p>
      <w:pPr>
        <w:pStyle w:val="Heading2"/>
        <w:keepNext/>
      </w:pPr>
      <w:r>
        <w:rPr>
          <w:rFonts w:ascii="Calibri" w:hAnsi="Calibri"/>
          <w:b/>
          <w:i w:val="0"/>
          <w:color w:val="2E74B5"/>
          <w:sz w:val="26"/>
        </w:rPr>
        <w:t>1. UniFi Protect</w:t>
      </w:r>
    </w:p>
    <w:p>
      <w:r>
        <w:rPr>
          <w:rFonts w:ascii="Calibri" w:hAnsi="Calibri"/>
          <w:b/>
          <w:i w:val="0"/>
          <w:color w:val="0B2545"/>
          <w:sz w:val="21"/>
        </w:rPr>
        <w:t xml:space="preserve">Why it fits LinkCrib: </w:t>
      </w:r>
      <w:r>
        <w:rPr>
          <w:rFonts w:ascii="Calibri" w:hAnsi="Calibri"/>
          <w:b w:val="0"/>
          <w:i w:val="0"/>
          <w:color w:val="1F2937"/>
          <w:sz w:val="21"/>
        </w:rPr>
        <w:t>UniFi publishes an official Protect API with camera inventory, snapshots, connection state, sensors, sirens, alarm hubs, lights, relays, and event updates. Protect also stores recordings and performs supported analytics locally on its console or NVR.</w:t>
      </w:r>
    </w:p>
    <w:p>
      <w:pPr>
        <w:pStyle w:val="ListBullet"/>
        <w:spacing w:after="60" w:line="271" w:lineRule="auto"/>
      </w:pPr>
      <w:r>
        <w:rPr>
          <w:rFonts w:ascii="Calibri" w:hAnsi="Calibri"/>
          <w:b w:val="0"/>
          <w:i w:val="0"/>
          <w:color w:val="1F2937"/>
          <w:sz w:val="20"/>
        </w:rPr>
        <w:t>Best suited to users who want a coordinated camera, sensor, and local-recording ecosystem.</w:t>
      </w:r>
    </w:p>
    <w:p>
      <w:pPr>
        <w:pStyle w:val="ListBullet"/>
        <w:spacing w:after="60" w:line="271" w:lineRule="auto"/>
      </w:pPr>
      <w:r>
        <w:rPr>
          <w:rFonts w:ascii="Calibri" w:hAnsi="Calibri"/>
          <w:b w:val="0"/>
          <w:i w:val="0"/>
          <w:color w:val="1F2937"/>
          <w:sz w:val="20"/>
        </w:rPr>
        <w:t>Would require a dedicated LinkCrib UniFi Protect connector and user-supplied local API credentials.</w:t>
      </w:r>
    </w:p>
    <w:p>
      <w:pPr>
        <w:pStyle w:val="ListBullet"/>
        <w:spacing w:after="60" w:line="271" w:lineRule="auto"/>
      </w:pPr>
      <w:r>
        <w:rPr>
          <w:rFonts w:ascii="Calibri" w:hAnsi="Calibri"/>
          <w:b w:val="0"/>
          <w:i w:val="0"/>
          <w:color w:val="1F2937"/>
          <w:sz w:val="20"/>
        </w:rPr>
        <w:t>Not yet implemented or certified in the current LinkCrib build.</w:t>
      </w:r>
    </w:p>
    <w:p>
      <w:pPr>
        <w:pStyle w:val="Heading2"/>
        <w:keepNext/>
      </w:pPr>
      <w:r>
        <w:rPr>
          <w:rFonts w:ascii="Calibri" w:hAnsi="Calibri"/>
          <w:b/>
          <w:i w:val="0"/>
          <w:color w:val="2E74B5"/>
          <w:sz w:val="26"/>
        </w:rPr>
        <w:t>2. Verified ONVIF cameras</w:t>
      </w:r>
    </w:p>
    <w:p>
      <w:r>
        <w:rPr>
          <w:rFonts w:ascii="Calibri" w:hAnsi="Calibri"/>
          <w:b/>
          <w:i w:val="0"/>
          <w:color w:val="0B2545"/>
          <w:sz w:val="21"/>
        </w:rPr>
        <w:t xml:space="preserve">Why it matters: </w:t>
      </w:r>
      <w:r>
        <w:rPr>
          <w:rFonts w:ascii="Calibri" w:hAnsi="Calibri"/>
          <w:b w:val="0"/>
          <w:i w:val="0"/>
          <w:color w:val="1F2937"/>
          <w:sz w:val="21"/>
        </w:rPr>
        <w:t>ONVIF defines interoperable interfaces for IP-based security products. A LinkCrib ONVIF adapter could discover cameras, read capabilities, request snapshots, and report device state across multiple manufacturers.</w:t>
      </w:r>
    </w:p>
    <w:p>
      <w:pPr>
        <w:pStyle w:val="ListBullet"/>
        <w:spacing w:after="60" w:line="271" w:lineRule="auto"/>
      </w:pPr>
      <w:r>
        <w:rPr>
          <w:rFonts w:ascii="Calibri" w:hAnsi="Calibri"/>
          <w:b w:val="0"/>
          <w:i w:val="0"/>
          <w:color w:val="1F2937"/>
          <w:sz w:val="20"/>
        </w:rPr>
        <w:t>Favor ONVIF Profile T for new purchases; it provides a more modern streaming and authentication direction.</w:t>
      </w:r>
    </w:p>
    <w:p>
      <w:pPr>
        <w:pStyle w:val="ListBullet"/>
        <w:spacing w:after="60" w:line="271" w:lineRule="auto"/>
      </w:pPr>
      <w:r>
        <w:rPr>
          <w:rFonts w:ascii="Calibri" w:hAnsi="Calibri"/>
          <w:b w:val="0"/>
          <w:i w:val="0"/>
          <w:color w:val="1F2937"/>
          <w:sz w:val="20"/>
        </w:rPr>
        <w:t>Verify the exact model and firmware in ONVIF’s official conformant-products database before purchasing.</w:t>
      </w:r>
    </w:p>
    <w:p>
      <w:pPr>
        <w:pStyle w:val="ListBullet"/>
        <w:spacing w:after="60" w:line="271" w:lineRule="auto"/>
      </w:pPr>
      <w:r>
        <w:rPr>
          <w:rFonts w:ascii="Calibri" w:hAnsi="Calibri"/>
          <w:b w:val="0"/>
          <w:i w:val="0"/>
          <w:color w:val="1F2937"/>
          <w:sz w:val="20"/>
        </w:rPr>
        <w:t>Potential brands include selected models from Axis, Amcrest, Hanwha, TP-Link VIGI, Hikvision, Dahua, and others—but the brand name alone does not guarantee compatibility.</w:t>
      </w:r>
    </w:p>
    <w:p>
      <w:pPr>
        <w:pStyle w:val="Heading2"/>
        <w:keepNext/>
      </w:pPr>
      <w:r>
        <w:rPr>
          <w:rFonts w:ascii="Calibri" w:hAnsi="Calibri"/>
          <w:b/>
          <w:i w:val="0"/>
          <w:color w:val="2E74B5"/>
          <w:sz w:val="26"/>
        </w:rPr>
        <w:t>3. Direct RTSP cameras</w:t>
      </w:r>
    </w:p>
    <w:p>
      <w:r>
        <w:rPr>
          <w:rFonts w:ascii="Calibri" w:hAnsi="Calibri"/>
          <w:b/>
          <w:i w:val="0"/>
          <w:color w:val="0B2545"/>
          <w:sz w:val="21"/>
        </w:rPr>
        <w:t xml:space="preserve">Appropriate for basic viewing: </w:t>
      </w:r>
      <w:r>
        <w:rPr>
          <w:rFonts w:ascii="Calibri" w:hAnsi="Calibri"/>
          <w:b w:val="0"/>
          <w:i w:val="0"/>
          <w:color w:val="1F2937"/>
          <w:sz w:val="21"/>
        </w:rPr>
        <w:t>RTSP can expose a local video stream that LinkCrib could display or convert into periodic snapshots. It should be treated as a limited fallback because RTSP alone normally lacks friendly inventory, rich health information, events, and security-sensor state.</w:t>
      </w:r>
    </w:p>
    <w:p>
      <w:pPr>
        <w:pStyle w:val="Heading1"/>
        <w:keepNext/>
      </w:pPr>
      <w:r>
        <w:rPr>
          <w:rFonts w:ascii="Calibri" w:hAnsi="Calibri"/>
          <w:b/>
          <w:i w:val="0"/>
          <w:color w:val="2E74B5"/>
          <w:sz w:val="32"/>
        </w:rPr>
        <w:t>What buyers should look for</w:t>
      </w:r>
    </w:p>
    <w:p>
      <w:pPr>
        <w:pStyle w:val="ListBullet"/>
        <w:spacing w:after="60" w:line="271" w:lineRule="auto"/>
      </w:pPr>
      <w:r>
        <w:rPr>
          <w:rFonts w:ascii="Calibri" w:hAnsi="Calibri"/>
          <w:b w:val="0"/>
          <w:i w:val="0"/>
          <w:color w:val="1F2937"/>
          <w:sz w:val="20"/>
        </w:rPr>
        <w:t>Local access that continues working when the internet connection is unavailable.</w:t>
      </w:r>
    </w:p>
    <w:p>
      <w:pPr>
        <w:pStyle w:val="ListBullet"/>
        <w:spacing w:after="60" w:line="271" w:lineRule="auto"/>
      </w:pPr>
      <w:r>
        <w:rPr>
          <w:rFonts w:ascii="Calibri" w:hAnsi="Calibri"/>
          <w:b w:val="0"/>
          <w:i w:val="0"/>
          <w:color w:val="1F2937"/>
          <w:sz w:val="20"/>
        </w:rPr>
        <w:t>ONVIF Profile T conformance or a documented local REST, WebSocket, MQTT, or similar API.</w:t>
      </w:r>
    </w:p>
    <w:p>
      <w:pPr>
        <w:pStyle w:val="ListBullet"/>
        <w:spacing w:after="60" w:line="271" w:lineRule="auto"/>
      </w:pPr>
      <w:r>
        <w:rPr>
          <w:rFonts w:ascii="Calibri" w:hAnsi="Calibri"/>
          <w:b w:val="0"/>
          <w:i w:val="0"/>
          <w:color w:val="1F2937"/>
          <w:sz w:val="20"/>
        </w:rPr>
        <w:t>A documented snapshot endpoint and stable camera identifiers.</w:t>
      </w:r>
    </w:p>
    <w:p>
      <w:pPr>
        <w:pStyle w:val="ListBullet"/>
        <w:spacing w:after="60" w:line="271" w:lineRule="auto"/>
      </w:pPr>
      <w:r>
        <w:rPr>
          <w:rFonts w:ascii="Calibri" w:hAnsi="Calibri"/>
          <w:b w:val="0"/>
          <w:i w:val="0"/>
          <w:color w:val="1F2937"/>
          <w:sz w:val="20"/>
        </w:rPr>
        <w:t>Local accounts or scoped API keys instead of sharing the owner’s primary cloud password.</w:t>
      </w:r>
    </w:p>
    <w:p>
      <w:pPr>
        <w:pStyle w:val="ListBullet"/>
        <w:spacing w:after="60" w:line="271" w:lineRule="auto"/>
      </w:pPr>
      <w:r>
        <w:rPr>
          <w:rFonts w:ascii="Calibri" w:hAnsi="Calibri"/>
          <w:b w:val="0"/>
          <w:i w:val="0"/>
          <w:color w:val="1F2937"/>
          <w:sz w:val="20"/>
        </w:rPr>
        <w:t>No mandatory subscription for basic local viewing and status reporting.</w:t>
      </w:r>
    </w:p>
    <w:p>
      <w:pPr>
        <w:pStyle w:val="ListBullet"/>
        <w:spacing w:after="60" w:line="271" w:lineRule="auto"/>
      </w:pPr>
      <w:r>
        <w:rPr>
          <w:rFonts w:ascii="Calibri" w:hAnsi="Calibri"/>
          <w:b w:val="0"/>
          <w:i w:val="0"/>
          <w:color w:val="1F2937"/>
          <w:sz w:val="20"/>
        </w:rPr>
        <w:t>Clear firmware support, security updates, and a published privacy policy.</w:t>
      </w:r>
    </w:p>
    <w:p>
      <w:pPr>
        <w:pStyle w:val="Heading1"/>
        <w:keepNext/>
      </w:pPr>
      <w:r>
        <w:rPr>
          <w:rFonts w:ascii="Calibri" w:hAnsi="Calibri"/>
          <w:b/>
          <w:i w:val="0"/>
          <w:color w:val="2E74B5"/>
          <w:sz w:val="32"/>
        </w:rPr>
        <w:t>Security devices beyond cameras</w:t>
      </w:r>
    </w:p>
    <w:p>
      <w:r>
        <w:rPr>
          <w:rFonts w:ascii="Calibri" w:hAnsi="Calibri"/>
          <w:b w:val="0"/>
          <w:i w:val="0"/>
          <w:color w:val="1F2937"/>
          <w:sz w:val="21"/>
        </w:rPr>
        <w:t>LinkCrib could eventually report and automate additional locally accessible devices, including:</w:t>
      </w:r>
    </w:p>
    <w:p>
      <w:pPr>
        <w:pStyle w:val="ListBullet"/>
        <w:spacing w:after="60" w:line="271" w:lineRule="auto"/>
      </w:pPr>
      <w:r>
        <w:rPr>
          <w:rFonts w:ascii="Calibri" w:hAnsi="Calibri"/>
          <w:b w:val="0"/>
          <w:i w:val="0"/>
          <w:color w:val="1F2937"/>
          <w:sz w:val="20"/>
        </w:rPr>
        <w:t>Door and window contact sensors</w:t>
      </w:r>
    </w:p>
    <w:p>
      <w:pPr>
        <w:pStyle w:val="ListBullet"/>
        <w:spacing w:after="60" w:line="271" w:lineRule="auto"/>
      </w:pPr>
      <w:r>
        <w:rPr>
          <w:rFonts w:ascii="Calibri" w:hAnsi="Calibri"/>
          <w:b w:val="0"/>
          <w:i w:val="0"/>
          <w:color w:val="1F2937"/>
          <w:sz w:val="20"/>
        </w:rPr>
        <w:t>Motion and occupancy sensors</w:t>
      </w:r>
    </w:p>
    <w:p>
      <w:pPr>
        <w:pStyle w:val="ListBullet"/>
        <w:spacing w:after="60" w:line="271" w:lineRule="auto"/>
      </w:pPr>
      <w:r>
        <w:rPr>
          <w:rFonts w:ascii="Calibri" w:hAnsi="Calibri"/>
          <w:b w:val="0"/>
          <w:i w:val="0"/>
          <w:color w:val="1F2937"/>
          <w:sz w:val="20"/>
        </w:rPr>
        <w:t>Glass-break sensors</w:t>
      </w:r>
    </w:p>
    <w:p>
      <w:pPr>
        <w:pStyle w:val="ListBullet"/>
        <w:spacing w:after="60" w:line="271" w:lineRule="auto"/>
      </w:pPr>
      <w:r>
        <w:rPr>
          <w:rFonts w:ascii="Calibri" w:hAnsi="Calibri"/>
          <w:b w:val="0"/>
          <w:i w:val="0"/>
          <w:color w:val="1F2937"/>
          <w:sz w:val="20"/>
        </w:rPr>
        <w:t>Water-leak, smoke, and environmental sensors</w:t>
      </w:r>
    </w:p>
    <w:p>
      <w:pPr>
        <w:pStyle w:val="ListBullet"/>
        <w:spacing w:after="60" w:line="271" w:lineRule="auto"/>
      </w:pPr>
      <w:r>
        <w:rPr>
          <w:rFonts w:ascii="Calibri" w:hAnsi="Calibri"/>
          <w:b w:val="0"/>
          <w:i w:val="0"/>
          <w:color w:val="1F2937"/>
          <w:sz w:val="20"/>
        </w:rPr>
        <w:t>Sirens, security lights, relays, and garage-door state</w:t>
      </w:r>
    </w:p>
    <w:p>
      <w:pPr>
        <w:pStyle w:val="ListBullet"/>
        <w:spacing w:after="60" w:line="271" w:lineRule="auto"/>
      </w:pPr>
      <w:r>
        <w:rPr>
          <w:rFonts w:ascii="Calibri" w:hAnsi="Calibri"/>
          <w:b w:val="0"/>
          <w:i w:val="0"/>
          <w:color w:val="1F2937"/>
          <w:sz w:val="20"/>
        </w:rPr>
        <w:t>Smart-lock state, subject to strict authorization and safety controls</w:t>
      </w:r>
    </w:p>
    <w:p>
      <w:r>
        <w:br w:type="page"/>
      </w:r>
    </w:p>
    <w:p>
      <w:pPr>
        <w:pStyle w:val="Heading2"/>
        <w:keepNext/>
      </w:pPr>
      <w:r>
        <w:rPr>
          <w:rFonts w:ascii="Calibri" w:hAnsi="Calibri"/>
          <w:b/>
          <w:i w:val="0"/>
          <w:color w:val="2E74B5"/>
          <w:sz w:val="26"/>
        </w:rPr>
        <w:t>Preferred integration paths</w:t>
      </w:r>
    </w:p>
    <w:tbl>
      <w:tblPr>
        <w:tblStyle w:val="TableGrid"/>
        <w:tblW w:type="auto" w:w="0"/>
        <w:tblLayout w:type="fixed"/>
        <w:tblLook w:firstColumn="1" w:firstRow="1" w:lastColumn="0" w:lastRow="0" w:noHBand="0" w:noVBand="1" w:val="04A0"/>
        <w:tblW w:w="9360" w:type="dxa"/>
        <w:tblInd w:w="120" w:type="dxa"/>
        <w:tblW w:w="9360" w:type="dxa"/>
        <w:tblInd w:w="120" w:type="dxa"/>
      </w:tblPr>
      <w:tblGrid>
        <w:gridCol w:w="1900"/>
        <w:gridCol w:w="3300"/>
        <w:gridCol w:w="4160"/>
      </w:tblGrid>
      <w:tr>
        <w:tc>
          <w:tcPr>
            <w:tcW w:type="dxa" w:w="3312"/>
            <w:tcW w:w="1900" w:type="dxa"/>
            <w:tcMar>
              <w:top w:w="90" w:type="dxa"/>
              <w:start w:w="120" w:type="dxa"/>
              <w:bottom w:w="90" w:type="dxa"/>
              <w:end w:w="120" w:type="dxa"/>
            </w:tcMar>
            <w:vAlign w:val="center"/>
            <w:shd w:fill="0B2545"/>
            <w:tcW w:w="1900" w:type="dxa"/>
          </w:tcPr>
          <w:p>
            <w:r>
              <w:rPr>
                <w:rFonts w:ascii="Calibri" w:hAnsi="Calibri"/>
                <w:b/>
                <w:i w:val="0"/>
                <w:color w:val="FFFFFF"/>
                <w:sz w:val="16"/>
              </w:rPr>
              <w:t>TECHNOLOGY</w:t>
            </w:r>
          </w:p>
        </w:tc>
        <w:tc>
          <w:tcPr>
            <w:tcW w:type="dxa" w:w="3312"/>
            <w:tcW w:w="3300" w:type="dxa"/>
            <w:tcMar>
              <w:top w:w="90" w:type="dxa"/>
              <w:start w:w="120" w:type="dxa"/>
              <w:bottom w:w="90" w:type="dxa"/>
              <w:end w:w="120" w:type="dxa"/>
            </w:tcMar>
            <w:vAlign w:val="center"/>
            <w:shd w:fill="0B2545"/>
            <w:tcW w:w="3300" w:type="dxa"/>
          </w:tcPr>
          <w:p>
            <w:r>
              <w:rPr>
                <w:rFonts w:ascii="Calibri" w:hAnsi="Calibri"/>
                <w:b/>
                <w:i w:val="0"/>
                <w:color w:val="FFFFFF"/>
                <w:sz w:val="16"/>
              </w:rPr>
              <w:t>GOOD USE</w:t>
            </w:r>
          </w:p>
        </w:tc>
        <w:tc>
          <w:tcPr>
            <w:tcW w:type="dxa" w:w="3312"/>
            <w:tcW w:w="4160" w:type="dxa"/>
            <w:tcMar>
              <w:top w:w="90" w:type="dxa"/>
              <w:start w:w="120" w:type="dxa"/>
              <w:bottom w:w="90" w:type="dxa"/>
              <w:end w:w="120" w:type="dxa"/>
            </w:tcMar>
            <w:vAlign w:val="center"/>
            <w:shd w:fill="0B2545"/>
            <w:tcW w:w="4160" w:type="dxa"/>
          </w:tcPr>
          <w:p>
            <w:r>
              <w:rPr>
                <w:rFonts w:ascii="Calibri" w:hAnsi="Calibri"/>
                <w:b/>
                <w:i w:val="0"/>
                <w:color w:val="FFFFFF"/>
                <w:sz w:val="16"/>
              </w:rPr>
              <w:t>LINKCRIB APPROACH</w:t>
            </w:r>
          </w:p>
        </w:tc>
      </w:tr>
      <w:tr>
        <w:tc>
          <w:tcPr>
            <w:tcW w:type="dxa" w:w="1900"/>
            <w:shd w:fill="FFFFFF"/>
            <w:tcW w:w="1900" w:type="dxa"/>
            <w:tcMar>
              <w:top w:w="90" w:type="dxa"/>
              <w:start w:w="120" w:type="dxa"/>
              <w:bottom w:w="90" w:type="dxa"/>
              <w:end w:w="120" w:type="dxa"/>
            </w:tcMar>
            <w:vAlign w:val="center"/>
          </w:tcPr>
          <w:p>
            <w:r>
              <w:rPr>
                <w:rFonts w:ascii="Calibri" w:hAnsi="Calibri"/>
                <w:b/>
                <w:i w:val="0"/>
                <w:color w:val="0B2545"/>
                <w:sz w:val="18"/>
              </w:rPr>
              <w:t>Matter</w:t>
            </w:r>
          </w:p>
        </w:tc>
        <w:tc>
          <w:tcPr>
            <w:tcW w:type="dxa" w:w="3300"/>
            <w:shd w:fill="FFFFFF"/>
            <w:tcW w:w="3300" w:type="dxa"/>
            <w:tcMar>
              <w:top w:w="90" w:type="dxa"/>
              <w:start w:w="120" w:type="dxa"/>
              <w:bottom w:w="90" w:type="dxa"/>
              <w:end w:w="120" w:type="dxa"/>
            </w:tcMar>
            <w:vAlign w:val="center"/>
          </w:tcPr>
          <w:p>
            <w:r>
              <w:rPr>
                <w:rFonts w:ascii="Calibri" w:hAnsi="Calibri"/>
                <w:b w:val="0"/>
                <w:i w:val="0"/>
                <w:color w:val="1F2937"/>
                <w:sz w:val="18"/>
              </w:rPr>
              <w:t>Cross-brand household sensors and locks</w:t>
            </w:r>
          </w:p>
        </w:tc>
        <w:tc>
          <w:tcPr>
            <w:tcW w:type="dxa" w:w="4160"/>
            <w:shd w:fill="FFFFFF"/>
            <w:tcW w:w="4160" w:type="dxa"/>
            <w:tcMar>
              <w:top w:w="90" w:type="dxa"/>
              <w:start w:w="120" w:type="dxa"/>
              <w:bottom w:w="90" w:type="dxa"/>
              <w:end w:w="120" w:type="dxa"/>
            </w:tcMar>
            <w:vAlign w:val="center"/>
          </w:tcPr>
          <w:p>
            <w:r>
              <w:rPr>
                <w:rFonts w:ascii="Calibri" w:hAnsi="Calibri"/>
                <w:b w:val="0"/>
                <w:i w:val="0"/>
                <w:color w:val="1F2937"/>
                <w:sz w:val="18"/>
              </w:rPr>
              <w:t>Develop after LinkCrib’s shared device model and security permissions are mature.</w:t>
            </w:r>
          </w:p>
        </w:tc>
      </w:tr>
      <w:tr>
        <w:tc>
          <w:tcPr>
            <w:tcW w:type="dxa" w:w="1900"/>
            <w:shd w:fill="F4F6F9"/>
            <w:tcW w:w="1900" w:type="dxa"/>
            <w:tcMar>
              <w:top w:w="90" w:type="dxa"/>
              <w:start w:w="120" w:type="dxa"/>
              <w:bottom w:w="90" w:type="dxa"/>
              <w:end w:w="120" w:type="dxa"/>
            </w:tcMar>
            <w:vAlign w:val="center"/>
          </w:tcPr>
          <w:p>
            <w:r>
              <w:rPr>
                <w:rFonts w:ascii="Calibri" w:hAnsi="Calibri"/>
                <w:b/>
                <w:i w:val="0"/>
                <w:color w:val="0B2545"/>
                <w:sz w:val="18"/>
              </w:rPr>
              <w:t>Zigbee / Z-Wave</w:t>
            </w:r>
          </w:p>
        </w:tc>
        <w:tc>
          <w:tcPr>
            <w:tcW w:type="dxa" w:w="3300"/>
            <w:shd w:fill="F4F6F9"/>
            <w:tcW w:w="3300" w:type="dxa"/>
            <w:tcMar>
              <w:top w:w="90" w:type="dxa"/>
              <w:start w:w="120" w:type="dxa"/>
              <w:bottom w:w="90" w:type="dxa"/>
              <w:end w:w="120" w:type="dxa"/>
            </w:tcMar>
            <w:vAlign w:val="center"/>
          </w:tcPr>
          <w:p>
            <w:r>
              <w:rPr>
                <w:rFonts w:ascii="Calibri" w:hAnsi="Calibri"/>
                <w:b w:val="0"/>
                <w:i w:val="0"/>
                <w:color w:val="1F2937"/>
                <w:sz w:val="18"/>
              </w:rPr>
              <w:t>Battery sensors and established home-security devices</w:t>
            </w:r>
          </w:p>
        </w:tc>
        <w:tc>
          <w:tcPr>
            <w:tcW w:type="dxa" w:w="4160"/>
            <w:shd w:fill="F4F6F9"/>
            <w:tcW w:w="4160" w:type="dxa"/>
            <w:tcMar>
              <w:top w:w="90" w:type="dxa"/>
              <w:start w:w="120" w:type="dxa"/>
              <w:bottom w:w="90" w:type="dxa"/>
              <w:end w:w="120" w:type="dxa"/>
            </w:tcMar>
            <w:vAlign w:val="center"/>
          </w:tcPr>
          <w:p>
            <w:r>
              <w:rPr>
                <w:rFonts w:ascii="Calibri" w:hAnsi="Calibri"/>
                <w:b w:val="0"/>
                <w:i w:val="0"/>
                <w:color w:val="1F2937"/>
                <w:sz w:val="18"/>
              </w:rPr>
              <w:t>Use a local coordinator or controller; avoid brand-cloud dependence.</w:t>
            </w:r>
          </w:p>
        </w:tc>
      </w:tr>
      <w:tr>
        <w:tc>
          <w:tcPr>
            <w:tcW w:type="dxa" w:w="1900"/>
            <w:shd w:fill="FFFFFF"/>
            <w:tcW w:w="1900" w:type="dxa"/>
            <w:tcMar>
              <w:top w:w="90" w:type="dxa"/>
              <w:start w:w="120" w:type="dxa"/>
              <w:bottom w:w="90" w:type="dxa"/>
              <w:end w:w="120" w:type="dxa"/>
            </w:tcMar>
            <w:vAlign w:val="center"/>
          </w:tcPr>
          <w:p>
            <w:r>
              <w:rPr>
                <w:rFonts w:ascii="Calibri" w:hAnsi="Calibri"/>
                <w:b/>
                <w:i w:val="0"/>
                <w:color w:val="0B2545"/>
                <w:sz w:val="18"/>
              </w:rPr>
              <w:t>MQTT / local API</w:t>
            </w:r>
          </w:p>
        </w:tc>
        <w:tc>
          <w:tcPr>
            <w:tcW w:type="dxa" w:w="3300"/>
            <w:shd w:fill="FFFFFF"/>
            <w:tcW w:w="3300" w:type="dxa"/>
            <w:tcMar>
              <w:top w:w="90" w:type="dxa"/>
              <w:start w:w="120" w:type="dxa"/>
              <w:bottom w:w="90" w:type="dxa"/>
              <w:end w:w="120" w:type="dxa"/>
            </w:tcMar>
            <w:vAlign w:val="center"/>
          </w:tcPr>
          <w:p>
            <w:r>
              <w:rPr>
                <w:rFonts w:ascii="Calibri" w:hAnsi="Calibri"/>
                <w:b w:val="0"/>
                <w:i w:val="0"/>
                <w:color w:val="1F2937"/>
                <w:sz w:val="18"/>
              </w:rPr>
              <w:t>DIY, professional, and hub-based status reporting</w:t>
            </w:r>
          </w:p>
        </w:tc>
        <w:tc>
          <w:tcPr>
            <w:tcW w:type="dxa" w:w="4160"/>
            <w:shd w:fill="FFFFFF"/>
            <w:tcW w:w="4160" w:type="dxa"/>
            <w:tcMar>
              <w:top w:w="90" w:type="dxa"/>
              <w:start w:w="120" w:type="dxa"/>
              <w:bottom w:w="90" w:type="dxa"/>
              <w:end w:w="120" w:type="dxa"/>
            </w:tcMar>
            <w:vAlign w:val="center"/>
          </w:tcPr>
          <w:p>
            <w:r>
              <w:rPr>
                <w:rFonts w:ascii="Calibri" w:hAnsi="Calibri"/>
                <w:b w:val="0"/>
                <w:i w:val="0"/>
                <w:color w:val="1F2937"/>
                <w:sz w:val="18"/>
              </w:rPr>
              <w:t>Use scoped credentials and read-only monitoring first.</w:t>
            </w:r>
          </w:p>
        </w:tc>
      </w:tr>
      <w:tr>
        <w:tc>
          <w:tcPr>
            <w:tcW w:type="dxa" w:w="1900"/>
            <w:shd w:fill="F4F6F9"/>
            <w:tcW w:w="1900" w:type="dxa"/>
            <w:tcMar>
              <w:top w:w="90" w:type="dxa"/>
              <w:start w:w="120" w:type="dxa"/>
              <w:bottom w:w="90" w:type="dxa"/>
              <w:end w:w="120" w:type="dxa"/>
            </w:tcMar>
            <w:vAlign w:val="center"/>
          </w:tcPr>
          <w:p>
            <w:r>
              <w:rPr>
                <w:rFonts w:ascii="Calibri" w:hAnsi="Calibri"/>
                <w:b/>
                <w:i w:val="0"/>
                <w:color w:val="0B2545"/>
                <w:sz w:val="18"/>
              </w:rPr>
              <w:t>ONVIF</w:t>
            </w:r>
          </w:p>
        </w:tc>
        <w:tc>
          <w:tcPr>
            <w:tcW w:type="dxa" w:w="3300"/>
            <w:shd w:fill="F4F6F9"/>
            <w:tcW w:w="3300" w:type="dxa"/>
            <w:tcMar>
              <w:top w:w="90" w:type="dxa"/>
              <w:start w:w="120" w:type="dxa"/>
              <w:bottom w:w="90" w:type="dxa"/>
              <w:end w:w="120" w:type="dxa"/>
            </w:tcMar>
            <w:vAlign w:val="center"/>
          </w:tcPr>
          <w:p>
            <w:r>
              <w:rPr>
                <w:rFonts w:ascii="Calibri" w:hAnsi="Calibri"/>
                <w:b w:val="0"/>
                <w:i w:val="0"/>
                <w:color w:val="1F2937"/>
                <w:sz w:val="18"/>
              </w:rPr>
              <w:t>Video, metadata, and selected access-control systems</w:t>
            </w:r>
          </w:p>
        </w:tc>
        <w:tc>
          <w:tcPr>
            <w:tcW w:type="dxa" w:w="4160"/>
            <w:shd w:fill="F4F6F9"/>
            <w:tcW w:w="4160" w:type="dxa"/>
            <w:tcMar>
              <w:top w:w="90" w:type="dxa"/>
              <w:start w:w="120" w:type="dxa"/>
              <w:bottom w:w="90" w:type="dxa"/>
              <w:end w:w="120" w:type="dxa"/>
            </w:tcMar>
            <w:vAlign w:val="center"/>
          </w:tcPr>
          <w:p>
            <w:r>
              <w:rPr>
                <w:rFonts w:ascii="Calibri" w:hAnsi="Calibri"/>
                <w:b w:val="0"/>
                <w:i w:val="0"/>
                <w:color w:val="1F2937"/>
                <w:sz w:val="18"/>
              </w:rPr>
              <w:t>Begin with camera discovery, state, and snapshots before control features.</w:t>
            </w:r>
          </w:p>
        </w:tc>
      </w:tr>
    </w:tbl>
    <w:p>
      <w:pPr>
        <w:pStyle w:val="Heading1"/>
        <w:keepNext/>
      </w:pPr>
      <w:r>
        <w:rPr>
          <w:rFonts w:ascii="Calibri" w:hAnsi="Calibri"/>
          <w:b/>
          <w:i w:val="0"/>
          <w:color w:val="2E74B5"/>
          <w:sz w:val="32"/>
        </w:rPr>
        <w:t>LinkCrib compatibility labels</w:t>
      </w:r>
    </w:p>
    <w:p>
      <w:pPr>
        <w:spacing w:after="60"/>
      </w:pPr>
      <w:r>
        <w:rPr>
          <w:rFonts w:ascii="Calibri" w:hAnsi="Calibri"/>
          <w:b/>
          <w:i w:val="0"/>
          <w:color w:val="2E74B5"/>
          <w:sz w:val="21"/>
        </w:rPr>
        <w:t xml:space="preserve">Tested: </w:t>
      </w:r>
      <w:r>
        <w:rPr>
          <w:rFonts w:ascii="Calibri" w:hAnsi="Calibri"/>
          <w:b w:val="0"/>
          <w:i w:val="0"/>
          <w:color w:val="1F2937"/>
          <w:sz w:val="20"/>
        </w:rPr>
        <w:t>Implemented and validated on real LinkCrib hardware.</w:t>
      </w:r>
    </w:p>
    <w:p>
      <w:pPr>
        <w:spacing w:after="60"/>
      </w:pPr>
      <w:r>
        <w:rPr>
          <w:rFonts w:ascii="Calibri" w:hAnsi="Calibri"/>
          <w:b/>
          <w:i w:val="0"/>
          <w:color w:val="2E74B5"/>
          <w:sz w:val="21"/>
        </w:rPr>
        <w:t xml:space="preserve">Compatible: </w:t>
      </w:r>
      <w:r>
        <w:rPr>
          <w:rFonts w:ascii="Calibri" w:hAnsi="Calibri"/>
          <w:b w:val="0"/>
          <w:i w:val="0"/>
          <w:color w:val="1F2937"/>
          <w:sz w:val="20"/>
        </w:rPr>
        <w:t>Implemented and expected to work with documented requirements, but not part of the primary test system.</w:t>
      </w:r>
    </w:p>
    <w:p>
      <w:pPr>
        <w:spacing w:after="60"/>
      </w:pPr>
      <w:r>
        <w:rPr>
          <w:rFonts w:ascii="Calibri" w:hAnsi="Calibri"/>
          <w:b/>
          <w:i w:val="0"/>
          <w:color w:val="2E74B5"/>
          <w:sz w:val="21"/>
        </w:rPr>
        <w:t xml:space="preserve">Experimental: </w:t>
      </w:r>
      <w:r>
        <w:rPr>
          <w:rFonts w:ascii="Calibri" w:hAnsi="Calibri"/>
          <w:b w:val="0"/>
          <w:i w:val="0"/>
          <w:color w:val="1F2937"/>
          <w:sz w:val="20"/>
        </w:rPr>
        <w:t>Available for evaluation with limitations clearly identified.</w:t>
      </w:r>
    </w:p>
    <w:p>
      <w:pPr>
        <w:spacing w:after="60"/>
      </w:pPr>
      <w:r>
        <w:rPr>
          <w:rFonts w:ascii="Calibri" w:hAnsi="Calibri"/>
          <w:b/>
          <w:i w:val="0"/>
          <w:color w:val="2E74B5"/>
          <w:sz w:val="21"/>
        </w:rPr>
        <w:t xml:space="preserve">Portal only: </w:t>
      </w:r>
      <w:r>
        <w:rPr>
          <w:rFonts w:ascii="Calibri" w:hAnsi="Calibri"/>
          <w:b w:val="0"/>
          <w:i w:val="0"/>
          <w:color w:val="1F2937"/>
          <w:sz w:val="20"/>
        </w:rPr>
        <w:t>Provides safe access to the vendor’s own service without LinkCrib handling the account session.</w:t>
      </w:r>
    </w:p>
    <w:p>
      <w:pPr>
        <w:spacing w:after="60"/>
      </w:pPr>
      <w:r>
        <w:rPr>
          <w:rFonts w:ascii="Calibri" w:hAnsi="Calibri"/>
          <w:b/>
          <w:i w:val="0"/>
          <w:color w:val="2E74B5"/>
          <w:sz w:val="21"/>
        </w:rPr>
        <w:t xml:space="preserve">Unsupported: </w:t>
      </w:r>
      <w:r>
        <w:rPr>
          <w:rFonts w:ascii="Calibri" w:hAnsi="Calibri"/>
          <w:b w:val="0"/>
          <w:i w:val="0"/>
          <w:color w:val="1F2937"/>
          <w:sz w:val="20"/>
        </w:rPr>
        <w:t>No safe or maintainable integration path is currently offered.</w:t>
      </w:r>
    </w:p>
    <w:p>
      <w:pPr>
        <w:pStyle w:val="Heading1"/>
        <w:keepNext/>
      </w:pPr>
      <w:r>
        <w:rPr>
          <w:rFonts w:ascii="Calibri" w:hAnsi="Calibri"/>
          <w:b/>
          <w:i w:val="0"/>
          <w:color w:val="2E74B5"/>
          <w:sz w:val="32"/>
        </w:rPr>
        <w:t>Recommended roadmap</w:t>
      </w:r>
    </w:p>
    <w:p>
      <w:pPr>
        <w:pStyle w:val="ListBullet"/>
        <w:spacing w:after="60" w:line="271" w:lineRule="auto"/>
      </w:pPr>
      <w:r>
        <w:rPr>
          <w:rFonts w:ascii="Calibri" w:hAnsi="Calibri"/>
          <w:b w:val="0"/>
          <w:i w:val="0"/>
          <w:color w:val="1F2937"/>
          <w:sz w:val="20"/>
        </w:rPr>
        <w:t>Continue treating Reolink as the proven recommended camera option.</w:t>
      </w:r>
    </w:p>
    <w:p>
      <w:pPr>
        <w:pStyle w:val="ListBullet"/>
        <w:spacing w:after="60" w:line="271" w:lineRule="auto"/>
      </w:pPr>
      <w:r>
        <w:rPr>
          <w:rFonts w:ascii="Calibri" w:hAnsi="Calibri"/>
          <w:b w:val="0"/>
          <w:i w:val="0"/>
          <w:color w:val="1F2937"/>
          <w:sz w:val="20"/>
        </w:rPr>
        <w:t>Build a generic ONVIF Profile T camera connector for verified conformant devices.</w:t>
      </w:r>
    </w:p>
    <w:p>
      <w:pPr>
        <w:pStyle w:val="ListBullet"/>
        <w:spacing w:after="60" w:line="271" w:lineRule="auto"/>
      </w:pPr>
      <w:r>
        <w:rPr>
          <w:rFonts w:ascii="Calibri" w:hAnsi="Calibri"/>
          <w:b w:val="0"/>
          <w:i w:val="0"/>
          <w:color w:val="1F2937"/>
          <w:sz w:val="20"/>
        </w:rPr>
        <w:t>Add UniFi Protect as the second fully supported camera and security ecosystem.</w:t>
      </w:r>
    </w:p>
    <w:p>
      <w:pPr>
        <w:pStyle w:val="ListBullet"/>
        <w:spacing w:after="60" w:line="271" w:lineRule="auto"/>
      </w:pPr>
      <w:r>
        <w:rPr>
          <w:rFonts w:ascii="Calibri" w:hAnsi="Calibri"/>
          <w:b w:val="0"/>
          <w:i w:val="0"/>
          <w:color w:val="1F2937"/>
          <w:sz w:val="20"/>
        </w:rPr>
        <w:t>Introduce read-only local sensor reporting before any security control or arming features.</w:t>
      </w:r>
    </w:p>
    <w:p>
      <w:pPr>
        <w:pStyle w:val="ListBullet"/>
        <w:spacing w:after="60" w:line="271" w:lineRule="auto"/>
      </w:pPr>
      <w:r>
        <w:rPr>
          <w:rFonts w:ascii="Calibri" w:hAnsi="Calibri"/>
          <w:b w:val="0"/>
          <w:i w:val="0"/>
          <w:color w:val="1F2937"/>
          <w:sz w:val="20"/>
        </w:rPr>
        <w:t>Keep restricted cloud systems portal-only unless their vendors provide safe, documented APIs.</w:t>
      </w:r>
    </w:p>
    <w:p>
      <w:pPr>
        <w:pStyle w:val="Heading1"/>
        <w:keepNext/>
      </w:pPr>
      <w:r>
        <w:rPr>
          <w:rFonts w:ascii="Calibri" w:hAnsi="Calibri"/>
          <w:b/>
          <w:i w:val="0"/>
          <w:color w:val="2E74B5"/>
          <w:sz w:val="32"/>
        </w:rPr>
        <w:t>Important purchasing note</w:t>
      </w:r>
    </w:p>
    <w:tbl>
      <w:tblPr>
        <w:tblStyle w:val="TableGrid"/>
        <w:tblW w:type="auto" w:w="0"/>
        <w:tblLayout w:type="fixed"/>
        <w:tblLook w:firstColumn="1" w:firstRow="1" w:lastColumn="0" w:lastRow="0" w:noHBand="0" w:noVBand="1" w:val="04A0"/>
        <w:tblW w:w="9360" w:type="dxa"/>
        <w:tblInd w:w="120" w:type="dxa"/>
      </w:tblPr>
      <w:tblGrid>
        <w:gridCol w:w="9360"/>
      </w:tblGrid>
      <w:tr>
        <w:tc>
          <w:tcPr>
            <w:tcW w:type="dxa" w:w="9936"/>
            <w:tcW w:w="9360" w:type="dxa"/>
            <w:tcMar>
              <w:top w:w="90" w:type="dxa"/>
              <w:start w:w="120" w:type="dxa"/>
              <w:bottom w:w="90" w:type="dxa"/>
              <w:end w:w="120" w:type="dxa"/>
            </w:tcMar>
            <w:vAlign w:val="center"/>
            <w:shd w:fill="FFF4D6"/>
          </w:tcPr>
          <w:p>
            <w:r>
              <w:rPr>
                <w:rFonts w:ascii="Calibri" w:hAnsi="Calibri"/>
                <w:b/>
                <w:i w:val="0"/>
                <w:color w:val="0B2545"/>
                <w:sz w:val="21"/>
              </w:rPr>
              <w:t xml:space="preserve">Do not purchase a device solely because its product page says “ONVIF compatible.” </w:t>
            </w:r>
            <w:r>
              <w:rPr>
                <w:rFonts w:ascii="Calibri" w:hAnsi="Calibri"/>
                <w:b w:val="0"/>
                <w:i w:val="0"/>
                <w:color w:val="1F2937"/>
                <w:sz w:val="20"/>
              </w:rPr>
              <w:t>Confirm the exact model and installed firmware in ONVIF’s official database, and check LinkCrib’s published compatibility status. Features such as PTZ, audio, event metadata, and snapshots can vary by model. This Alpha v1.18 guide describes direction, not a promise that an untested product will work.</w:t>
            </w:r>
          </w:p>
        </w:tc>
      </w:tr>
    </w:tbl>
    <w:p>
      <w:pPr>
        <w:pStyle w:val="Heading1"/>
        <w:keepNext/>
      </w:pPr>
      <w:r>
        <w:rPr>
          <w:rFonts w:ascii="Calibri" w:hAnsi="Calibri"/>
          <w:b/>
          <w:i w:val="0"/>
          <w:color w:val="2E74B5"/>
          <w:sz w:val="32"/>
        </w:rPr>
        <w:t>Authoritative references</w:t>
      </w:r>
    </w:p>
    <w:p>
      <w:pPr>
        <w:pStyle w:val="ListBullet"/>
        <w:spacing w:after="60"/>
      </w:pPr>
      <w:hyperlink r:id="rId11">
        <w:r>
          <w:rPr>
            <w:color w:val="2E74B5"/>
            <w:u w:val="single"/>
          </w:rPr>
          <w:t>ONVIF Profiles</w:t>
        </w:r>
      </w:hyperlink>
    </w:p>
    <w:p>
      <w:pPr>
        <w:pStyle w:val="ListBullet"/>
        <w:spacing w:after="60"/>
      </w:pPr>
      <w:hyperlink r:id="rId12">
        <w:r>
          <w:rPr>
            <w:color w:val="2E74B5"/>
            <w:u w:val="single"/>
          </w:rPr>
          <w:t>ONVIF Conformance FAQ</w:t>
        </w:r>
      </w:hyperlink>
    </w:p>
    <w:p>
      <w:pPr>
        <w:pStyle w:val="ListBullet"/>
        <w:spacing w:after="60"/>
      </w:pPr>
      <w:hyperlink r:id="rId13">
        <w:r>
          <w:rPr>
            <w:color w:val="2E74B5"/>
            <w:u w:val="single"/>
          </w:rPr>
          <w:t>ONVIF Profile S deprecation guidance</w:t>
        </w:r>
      </w:hyperlink>
    </w:p>
    <w:p>
      <w:pPr>
        <w:pStyle w:val="ListBullet"/>
        <w:spacing w:after="60"/>
      </w:pPr>
      <w:hyperlink r:id="rId14">
        <w:r>
          <w:rPr>
            <w:color w:val="2E74B5"/>
            <w:u w:val="single"/>
          </w:rPr>
          <w:t>Official UniFi Protect API</w:t>
        </w:r>
      </w:hyperlink>
    </w:p>
    <w:p>
      <w:pPr>
        <w:pStyle w:val="ListBullet"/>
        <w:spacing w:after="60"/>
      </w:pPr>
      <w:hyperlink r:id="rId15">
        <w:r>
          <w:rPr>
            <w:color w:val="2E74B5"/>
            <w:u w:val="single"/>
          </w:rPr>
          <w:t>How UniFi Protect protects and stores data</w:t>
        </w:r>
      </w:hyperlink>
    </w:p>
    <w:sectPr w:rsidR="00FC693F" w:rsidRPr="0006063C" w:rsidSect="00034616">
      <w:headerReference w:type="default" r:id="rId9"/>
      <w:footerReference w:type="default" r:id="rId10"/>
      <w:pgSz w:w="12240" w:h="15840"/>
      <w:pgMar w:top="1037" w:right="1152" w:bottom="979" w:left="1152"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26174"/>
        <w:sz w:val="16"/>
      </w:rPr>
      <w:t>LinkCrib Alpha v1.18  •  Camera and security ecosystem briefing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i w:val="0"/>
        <w:color w:val="526174"/>
        <w:sz w:val="17"/>
      </w:rPr>
      <w:t>LINKCRIB  |  COMPATIBILITY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1"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2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Calibri" w:hAnsi="Calibri"/>
      <w:b/>
      <w:bCs/>
      <w:color w:val="0B254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nvif.org/profiles/" TargetMode="External"/><Relationship Id="rId12" Type="http://schemas.openxmlformats.org/officeDocument/2006/relationships/hyperlink" Target="https://www.onvif.org/conformance-faq/" TargetMode="External"/><Relationship Id="rId13" Type="http://schemas.openxmlformats.org/officeDocument/2006/relationships/hyperlink" Target="https://www.onvif.org/profiles/profile-s/profile-s-deprecation-qna/" TargetMode="External"/><Relationship Id="rId14" Type="http://schemas.openxmlformats.org/officeDocument/2006/relationships/hyperlink" Target="https://developer.ui.com/protect" TargetMode="External"/><Relationship Id="rId15" Type="http://schemas.openxmlformats.org/officeDocument/2006/relationships/hyperlink" Target="https://help.ui.com/hc/en-us/articles/31234972188951-How-UniFi-Protect-Protects-Your-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LinkCrib Camera and Security Compatibility Guide</dc:title>
  <dc:subject>Public compatibility and roadmap briefing for LinkCrib Alpha v1.18</dc:subject>
  <dc:creator>Yellow Bird Tech</dc:creator>
  <cp:keywords>LinkCrib, Reolink, UniFi Protect, ONVIF, RTSP, Matter, Zigbee, Z-Wave, security cameras</cp:keywords>
  <dc:description>generated by python-docx</dc:description>
  <cp:lastModifiedBy/>
  <cp:revision>1</cp:revision>
  <dcterms:created xsi:type="dcterms:W3CDTF">2013-12-23T23:15:00Z</dcterms:created>
  <dcterms:modified xsi:type="dcterms:W3CDTF">2013-12-23T23:15:00Z</dcterms:modified>
  <cp:category/>
</cp:coreProperties>
</file>